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26-338</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3</w:t>
      </w:r>
    </w:p>
    <w:p>
      <w:pPr>
        <w:spacing w:before="0" w:after="0" w:line="480"/>
        <w:ind w:left="120"/>
        <w:jc w:val="center"/>
      </w:pPr>
      <w:r>
        <w:rPr>
          <w:rFonts w:ascii="Times New Roman" w:hAnsi="Times New Roman"/>
          <w:b w:val="false"/>
          <w:i w:val="false"/>
          <w:color w:val="000000"/>
          <w:sz w:val="24"/>
        </w:rPr>
        <w:t>“Forms”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section 17A.3(1)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dial-iowa-gov.zoom.us/j/81654334225?pwd=</w:t>
              </w:r>
              <w:r>
                <w:br/>
              </w:r>
              <w:r>
                <w:rPr>
                  <w:rFonts w:ascii="Times New Roman" w:hAnsi="Times New Roman"/>
                  <w:b w:val="false"/>
                  <w:i w:val="false"/>
                  <w:color w:val="0000ff"/>
                  <w:sz w:val="14"/>
                </w:rPr>
                <w:t>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Interim Workers’ Compensation Commissioner</w:t>
            </w:r>
            <w:r>
              <w:br/>
            </w:r>
            <w:r>
              <w:rPr>
                <w:rFonts w:ascii="Times New Roman" w:hAnsi="Times New Roman"/>
                <w:b w:val="false"/>
                <w:i w:val="false"/>
                <w:color w:val="000000"/>
                <w:sz w:val="14"/>
              </w:rPr>
              <w:t>Iowa Workers’ Compensation Division</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Chapter 3 is to provide the public with the names and descriptions of all forms available from the Division for use in matters under the jurisdiction of the Workers’ Compensation Commissioner. The forms include the original notices and petitions for various contested cases, including arbitration proceedings, alternate medical care proceedings, and reimbursement for an independent medical examination under Iowa Code section 85.39. Additional forms provided for the convenience of parties interacting with the Division include hearing reports, authorization(s) for releases of information, settlement forms, deferral of filing fees, and waiver of the mandatory use of the Workers’ Compensation Electronic System. Use of these forms provides clarity to parties represented by attorneys, parties representing themselves, employers, and Division employees as to what information is needed to achieve a particular task.</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public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Injured workers, employers, and insurance carriers benefit from this proposed rulemaking because it provides a list of available forms for use in workers’ compensation matters as well as a brief description of each form. There is also benefit to the staff within the Division because the forms provide a uniform manner of submitting claims and other information to the Division. The forms clearly outline what information is needed, which will result in fewer filings being rejected for incomplete information. Without the forms, there would be a plethora of documents filed with the Division, which would needlessly complicate the filing process for both the individuals filing and the employees within the Division.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direct costs. A Deputy Commissioner periodically updates the forms in the course of the Deputy Commissioner’s regular employment.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agency’s budget and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are no direct costs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 because it contains a list of forms available for use in matters under the jurisdiction of the Workers’ Compensation Commissioner as well as brief descriptions of the forms. Use of the specific forms is not a requirement; however, the vast majority of parties interacting with the Division use the forms provided.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has not identified any viable alternatives to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agency has not identified any viable alternatives to this proposed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Chapter 3 has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w:t>
      </w:r>
    </w:p>
    <w:p>
      <w:pPr>
        <w:spacing w:before="0" w:after="0" w:line="480"/>
        <w:ind w:left="120"/>
        <w:jc w:val="center"/>
      </w:pPr>
      <w:r>
        <w:rPr>
          <w:rFonts w:ascii="Times New Roman" w:hAnsi="Times New Roman"/>
          <w:b w:val="false"/>
          <w:i w:val="false"/>
          <w:color w:val="000000"/>
          <w:sz w:val="21"/>
        </w:rPr>
        <w:t>FORMS</w:t>
      </w:r>
    </w:p>
    <w:p>
      <w:pPr>
        <w:spacing w:before="0" w:after="0" w:line="480"/>
        <w:ind w:left="120"/>
        <w:jc w:val="both"/>
      </w:pPr>
      <w:r>
        <w:rPr>
          <w:rFonts w:ascii="Times New Roman" w:hAnsi="Times New Roman"/>
          <w:b/>
          <w:i w:val="false"/>
          <w:color w:val="000000"/>
          <w:sz w:val="24"/>
        </w:rPr>
        <w:t>876—3.1</w:t>
      </w:r>
      <w:r>
        <w:rPr>
          <w:rFonts w:ascii="Times New Roman" w:hAnsi="Times New Roman"/>
          <w:b/>
          <w:i w:val="false"/>
          <w:color w:val="000000"/>
          <w:sz w:val="24"/>
        </w:rPr>
        <w:t xml:space="preserve">(17A) </w:t>
      </w:r>
      <w:r>
        <w:rPr>
          <w:rFonts w:ascii="Times New Roman" w:hAnsi="Times New Roman"/>
          <w:b/>
          <w:i w:val="false"/>
          <w:color w:val="000000"/>
          <w:sz w:val="24"/>
        </w:rPr>
        <w:t xml:space="preserve">Forms. </w:t>
      </w:r>
      <w:r>
        <w:rPr>
          <w:rFonts w:ascii="Times New Roman" w:hAnsi="Times New Roman"/>
          <w:b w:val="false"/>
          <w:i w:val="false"/>
          <w:color w:val="000000"/>
          <w:sz w:val="24"/>
        </w:rPr>
        <w:t>The following forms are available from the workers’ compensation division for use in matters under the jurisdiction of the workers’ compensation commissioner. Insurance carriers, self-insured employers, or their adjusting agents may reproduce the forms, in which event the name, address, telephone number, and identification number may be imprinted. The current revision of the form must be used. Each form is identified by a form number. This form number follows each form name listed below and is used when requesting that specific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w:t>
      </w:r>
      <w:r>
        <w:rPr>
          <w:rFonts w:ascii="Times New Roman" w:hAnsi="Times New Roman"/>
          <w:b w:val="false"/>
          <w:i w:val="false"/>
          <w:color w:val="000000"/>
          <w:sz w:val="24"/>
        </w:rPr>
        <w:t> </w:t>
      </w:r>
      <w:r>
        <w:rPr>
          <w:rFonts w:ascii="Times New Roman" w:hAnsi="Times New Roman"/>
          <w:b w:val="false"/>
          <w:i/>
          <w:color w:val="000000"/>
          <w:sz w:val="24"/>
        </w:rPr>
        <w:t xml:space="preserve">Form—first report of injury (FROI). (Form No. 1) </w:t>
      </w:r>
      <w:r>
        <w:rPr>
          <w:rFonts w:ascii="Times New Roman" w:hAnsi="Times New Roman"/>
          <w:b w:val="false"/>
          <w:i w:val="false"/>
          <w:color w:val="000000"/>
          <w:sz w:val="24"/>
        </w:rPr>
        <w:t xml:space="preserve">The FROI contains general information concerning the employee, the employer and the claimed injury. A FROI is to be filed whether or not an adjudication or admission of liability for the injury exists and is to be filed as provided in Iowa Code section </w:t>
      </w:r>
      <w:hyperlink r:id="rId6">
        <w:r>
          <w:rPr>
            <w:rStyle w:val="Hyperlink"/>
            <w:rFonts w:ascii="Times New Roman" w:hAnsi="Times New Roman"/>
            <w:b w:val="false"/>
            <w:i w:val="false"/>
            <w:color w:val="000000"/>
            <w:sz w:val="24"/>
          </w:rPr>
          <w:t>10A.313</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876—Chapter 11</w:t>
        </w:r>
      </w:hyperlink>
      <w:r>
        <w:rPr>
          <w:rFonts w:ascii="Times New Roman" w:hAnsi="Times New Roman"/>
          <w:b w:val="false"/>
          <w:i w:val="false"/>
          <w:color w:val="000000"/>
          <w:sz w:val="24"/>
        </w:rPr>
        <w:t xml:space="preserve">. The FROI is to be filed when demanded by the commissioner pursuant to Iowa Code section </w:t>
      </w:r>
      <w:hyperlink r:id="rId8">
        <w:r>
          <w:rPr>
            <w:rStyle w:val="Hyperlink"/>
            <w:rFonts w:ascii="Times New Roman" w:hAnsi="Times New Roman"/>
            <w:b w:val="false"/>
            <w:i w:val="false"/>
            <w:color w:val="000000"/>
            <w:sz w:val="24"/>
          </w:rPr>
          <w:t>10A.314</w:t>
        </w:r>
      </w:hyperlink>
      <w:r>
        <w:rPr>
          <w:rFonts w:ascii="Times New Roman" w:hAnsi="Times New Roman"/>
          <w:b w:val="false"/>
          <w:i w:val="false"/>
          <w:color w:val="000000"/>
          <w:sz w:val="24"/>
        </w:rPr>
        <w:t xml:space="preserve"> and when an employer is served with an original notice and petition that alleges an injury for which a FROI has not been filed. If an original notice and petition alleges multiple injury dates, only one FROI should be filed and the date of injury reported should be the date the reporter uses when adjusting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w:t>
      </w:r>
      <w:r>
        <w:rPr>
          <w:rFonts w:ascii="Times New Roman" w:hAnsi="Times New Roman"/>
          <w:b w:val="false"/>
          <w:i w:val="false"/>
          <w:color w:val="000000"/>
          <w:sz w:val="24"/>
        </w:rPr>
        <w:t> </w:t>
      </w:r>
      <w:r>
        <w:rPr>
          <w:rFonts w:ascii="Times New Roman" w:hAnsi="Times New Roman"/>
          <w:b w:val="false"/>
          <w:i/>
          <w:color w:val="000000"/>
          <w:sz w:val="24"/>
        </w:rPr>
        <w:t xml:space="preserve">Form—subsequent report of injury (SROI). (Form No. 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SROI provides for filing of notice of commencement of payments, correcting erroneous claim information, supplying additional information, denying compensability, agreeing to the weekly benefit rate and agreeing to make payments under the Workers’ Compensation Act, reporting the status of a claim, or recording benefits paid. Notice of commencement of payments shall be filed within 30 days of the first payment. When liability on a claim is denied, a letter shall be sent to claimant stating reasons for denial. The SROI shall also be filed when compensation is terminated or interrupted. Medical data supporting the action taken shall be filed when temporary total disability or temporary partial disability exceeds 13 weeks or when the employee sustains a permanent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employer and insurance carrier who are required to file medical data shall file the medical data in WCES. The employer or insurance carrier or the employer’s or insurance carrier’s agent shall register in WCES to file the medical data. The filer will receive a status update for the information the filer submits based upon the status the filer selects and for which the filer is approved in WCES.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w:t>
      </w:r>
      <w:r>
        <w:rPr>
          <w:rFonts w:ascii="Times New Roman" w:hAnsi="Times New Roman"/>
          <w:b w:val="false"/>
          <w:i w:val="false"/>
          <w:color w:val="000000"/>
          <w:sz w:val="24"/>
        </w:rPr>
        <w:t> </w:t>
      </w:r>
      <w:r>
        <w:rPr>
          <w:rFonts w:ascii="Times New Roman" w:hAnsi="Times New Roman"/>
          <w:b w:val="false"/>
          <w:i/>
          <w:color w:val="000000"/>
          <w:sz w:val="24"/>
        </w:rPr>
        <w:t xml:space="preserve">Form—information request. (Form No. 4) </w:t>
      </w:r>
      <w:r>
        <w:rPr>
          <w:rFonts w:ascii="Times New Roman" w:hAnsi="Times New Roman"/>
          <w:b w:val="false"/>
          <w:i w:val="false"/>
          <w:color w:val="000000"/>
          <w:sz w:val="24"/>
        </w:rPr>
        <w:t xml:space="preserve">This form is an information request form. The information request form allows for individuals to request certain information from the workers’ compensation division.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3.1(4)</w:t>
      </w:r>
      <w:r>
        <w:rPr>
          <w:rFonts w:ascii="Times New Roman" w:hAnsi="Times New Roman"/>
          <w:b w:val="false"/>
          <w:i w:val="false"/>
          <w:color w:val="000000"/>
          <w:sz w:val="24"/>
        </w:rPr>
        <w:t> </w:t>
      </w:r>
      <w:r>
        <w:rPr>
          <w:rFonts w:ascii="Times New Roman" w:hAnsi="Times New Roman"/>
          <w:b w:val="false"/>
          <w:i/>
          <w:color w:val="000000"/>
          <w:sz w:val="24"/>
        </w:rPr>
        <w:t xml:space="preserve">Form—authorization to release confidential information to third party. (Form No. 5) </w:t>
      </w:r>
      <w:r>
        <w:rPr>
          <w:rFonts w:ascii="Times New Roman" w:hAnsi="Times New Roman"/>
          <w:b w:val="false"/>
          <w:i w:val="false"/>
          <w:color w:val="000000"/>
          <w:sz w:val="24"/>
        </w:rPr>
        <w:t>This form allows the workers’ compensation division to release certain confidential information to a third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w:t>
      </w:r>
      <w:r>
        <w:rPr>
          <w:rFonts w:ascii="Times New Roman" w:hAnsi="Times New Roman"/>
          <w:b w:val="false"/>
          <w:i w:val="false"/>
          <w:color w:val="000000"/>
          <w:sz w:val="24"/>
        </w:rPr>
        <w:t> </w:t>
      </w:r>
      <w:r>
        <w:rPr>
          <w:rFonts w:ascii="Times New Roman" w:hAnsi="Times New Roman"/>
          <w:b w:val="false"/>
          <w:i/>
          <w:color w:val="000000"/>
          <w:sz w:val="24"/>
        </w:rPr>
        <w:t xml:space="preserve">Form—original notice and petition. </w:t>
      </w:r>
      <w:r>
        <w:rPr>
          <w:rFonts w:ascii="Times New Roman" w:hAnsi="Times New Roman"/>
          <w:b w:val="false"/>
          <w:i w:val="false"/>
          <w:color w:val="000000"/>
          <w:sz w:val="24"/>
        </w:rPr>
        <w:t xml:space="preserve">The following forms are types of original notice and petition: form—original notice and petition (Form No. 100); form—original notice and petition concerning application for independent medical examination (Form No. 100A); form—answer and order concerning application for independent medical examination (Form No. 101A); form—original notice and petition concerning vocational rehabilitation program benefit (Form No. 100B); form—answer concerning vocational rehabilitation program benefit (Form No. 101B); form—original notice, petition concerning application for alternate medical care (Form No. 100C); form—answer concerning application for alternate medical care (Form No. 101C); form—original notice and petition concerning application for vocational training and education (Form No. 100D); form—answer concerning application for vocational training and education (Form No. 101D); form—original notice and petition for full commutation of all remaining benefits of ten weeks or more </w:t>
      </w:r>
      <w:hyperlink r:id="rId9">
        <w:r>
          <w:rPr>
            <w:rStyle w:val="Hyperlink"/>
            <w:rFonts w:ascii="Times New Roman" w:hAnsi="Times New Roman"/>
            <w:b w:val="false"/>
            <w:i w:val="false"/>
            <w:color w:val="000000"/>
            <w:sz w:val="24"/>
          </w:rPr>
          <w:t>876—subrule 6.2(6)</w:t>
        </w:r>
      </w:hyperlink>
      <w:r>
        <w:rPr>
          <w:rFonts w:ascii="Times New Roman" w:hAnsi="Times New Roman"/>
          <w:b w:val="false"/>
          <w:i w:val="false"/>
          <w:color w:val="000000"/>
          <w:sz w:val="24"/>
        </w:rPr>
        <w:t xml:space="preserve"> (Form No. 200); and form—original notice and petition and order for partial commutation (Form No. 201). Further descriptions can be found in rule </w:t>
      </w:r>
      <w:hyperlink r:id="rId10">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w:t>
      </w:r>
      <w:r>
        <w:rPr>
          <w:rFonts w:ascii="Times New Roman" w:hAnsi="Times New Roman"/>
          <w:b w:val="false"/>
          <w:i w:val="false"/>
          <w:color w:val="000000"/>
          <w:sz w:val="24"/>
        </w:rPr>
        <w:t> </w:t>
      </w:r>
      <w:r>
        <w:rPr>
          <w:rFonts w:ascii="Times New Roman" w:hAnsi="Times New Roman"/>
          <w:b w:val="false"/>
          <w:i/>
          <w:color w:val="000000"/>
          <w:sz w:val="24"/>
        </w:rPr>
        <w:t xml:space="preserve">Form—subpoena. (Form No. 104) </w:t>
      </w:r>
      <w:r>
        <w:rPr>
          <w:rFonts w:ascii="Times New Roman" w:hAnsi="Times New Roman"/>
          <w:b w:val="false"/>
          <w:i w:val="false"/>
          <w:color w:val="000000"/>
          <w:sz w:val="24"/>
        </w:rPr>
        <w:t>This form is the witness subpoena, which is used to require a witness to appear and testify, and the Subpoena Duces Tecum, which is used to require a witness to appear and to bring specified books and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3.1(7)</w:t>
      </w:r>
      <w:r>
        <w:rPr>
          <w:rFonts w:ascii="Times New Roman" w:hAnsi="Times New Roman"/>
          <w:b w:val="false"/>
          <w:i w:val="false"/>
          <w:color w:val="000000"/>
          <w:sz w:val="24"/>
        </w:rPr>
        <w:t> </w:t>
      </w:r>
      <w:r>
        <w:rPr>
          <w:rFonts w:ascii="Times New Roman" w:hAnsi="Times New Roman"/>
          <w:b w:val="false"/>
          <w:i/>
          <w:color w:val="000000"/>
          <w:sz w:val="24"/>
        </w:rPr>
        <w:t xml:space="preserve">Form—corporate officer exclusion. (Form No. 7) </w:t>
      </w:r>
      <w:r>
        <w:rPr>
          <w:rFonts w:ascii="Times New Roman" w:hAnsi="Times New Roman"/>
          <w:b w:val="false"/>
          <w:i w:val="false"/>
          <w:color w:val="000000"/>
          <w:sz w:val="24"/>
        </w:rPr>
        <w:t>This form is the corporate officer exclusion, which is used for corporate officers to reject workers’ compensation or employers’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w:t>
      </w:r>
      <w:r>
        <w:rPr>
          <w:rFonts w:ascii="Times New Roman" w:hAnsi="Times New Roman"/>
          <w:b w:val="false"/>
          <w:i w:val="false"/>
          <w:color w:val="000000"/>
          <w:sz w:val="24"/>
        </w:rPr>
        <w:t> </w:t>
      </w:r>
      <w:r>
        <w:rPr>
          <w:rFonts w:ascii="Times New Roman" w:hAnsi="Times New Roman"/>
          <w:b w:val="false"/>
          <w:i/>
          <w:color w:val="000000"/>
          <w:sz w:val="24"/>
        </w:rPr>
        <w:t xml:space="preserve">Form—application and consent order for payment of benefits. (Form No. 6) </w:t>
      </w:r>
      <w:r>
        <w:rPr>
          <w:rFonts w:ascii="Times New Roman" w:hAnsi="Times New Roman"/>
          <w:b w:val="false"/>
          <w:i w:val="false"/>
          <w:color w:val="000000"/>
          <w:sz w:val="24"/>
        </w:rPr>
        <w:t xml:space="preserve">This form is the application and consent order for payment of benefits under Iowa Code section </w:t>
      </w:r>
      <w:hyperlink r:id="rId11">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 which is used by an employer or an insurance carrier to pay weekly and medical benefits without admitting liability and to be able to seek reimbursement from another carrier or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3.1(9)</w:t>
      </w:r>
      <w:r>
        <w:rPr>
          <w:rFonts w:ascii="Times New Roman" w:hAnsi="Times New Roman"/>
          <w:b w:val="false"/>
          <w:i w:val="false"/>
          <w:color w:val="000000"/>
          <w:sz w:val="24"/>
        </w:rPr>
        <w:t> </w:t>
      </w:r>
      <w:r>
        <w:rPr>
          <w:rFonts w:ascii="Times New Roman" w:hAnsi="Times New Roman"/>
          <w:b w:val="false"/>
          <w:i/>
          <w:color w:val="000000"/>
          <w:sz w:val="24"/>
        </w:rPr>
        <w:t xml:space="preserve">Form—hearing report. </w:t>
      </w:r>
      <w:r>
        <w:rPr>
          <w:rFonts w:ascii="Times New Roman" w:hAnsi="Times New Roman"/>
          <w:b w:val="false"/>
          <w:i w:val="false"/>
          <w:color w:val="000000"/>
          <w:sz w:val="24"/>
        </w:rPr>
        <w:t xml:space="preserve">The following forms are types of hearing reports for arbitration hearings: hearing report—no second injury fund (Form No. 105) and hearing report—second injury fund (Form No. 106).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3.1(10)</w:t>
      </w:r>
      <w:r>
        <w:rPr>
          <w:rFonts w:ascii="Times New Roman" w:hAnsi="Times New Roman"/>
          <w:b w:val="false"/>
          <w:i w:val="false"/>
          <w:color w:val="000000"/>
          <w:sz w:val="24"/>
        </w:rPr>
        <w:t> </w:t>
      </w:r>
      <w:r>
        <w:rPr>
          <w:rFonts w:ascii="Times New Roman" w:hAnsi="Times New Roman"/>
          <w:b w:val="false"/>
          <w:i/>
          <w:color w:val="000000"/>
          <w:sz w:val="24"/>
        </w:rPr>
        <w:t xml:space="preserve">Form—interpreter identification form. (Form No. 108) </w:t>
      </w:r>
      <w:r>
        <w:rPr>
          <w:rFonts w:ascii="Times New Roman" w:hAnsi="Times New Roman"/>
          <w:b w:val="false"/>
          <w:i w:val="false"/>
          <w:color w:val="000000"/>
          <w:sz w:val="24"/>
        </w:rPr>
        <w:t>This form is used to identify an interpreter, if necessary, for any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3.1(11)</w:t>
      </w:r>
      <w:r>
        <w:rPr>
          <w:rFonts w:ascii="Times New Roman" w:hAnsi="Times New Roman"/>
          <w:b w:val="false"/>
          <w:i w:val="false"/>
          <w:color w:val="000000"/>
          <w:sz w:val="24"/>
        </w:rPr>
        <w:t> </w:t>
      </w:r>
      <w:r>
        <w:rPr>
          <w:rFonts w:ascii="Times New Roman" w:hAnsi="Times New Roman"/>
          <w:b w:val="false"/>
          <w:i/>
          <w:color w:val="000000"/>
          <w:sz w:val="24"/>
        </w:rPr>
        <w:t xml:space="preserve">Form—authorization for release of information regarding claimants seeking workers’ compensation benefits. (Form No. 3) </w:t>
      </w:r>
      <w:r>
        <w:rPr>
          <w:rFonts w:ascii="Times New Roman" w:hAnsi="Times New Roman"/>
          <w:b w:val="false"/>
          <w:i w:val="false"/>
          <w:color w:val="000000"/>
          <w:sz w:val="24"/>
        </w:rPr>
        <w:t>This form is used for the release of information concerning an employee’s physical or mental condition relative to a workers’ compensation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3.1(12)</w:t>
      </w:r>
      <w:r>
        <w:rPr>
          <w:rFonts w:ascii="Times New Roman" w:hAnsi="Times New Roman"/>
          <w:b w:val="false"/>
          <w:i w:val="false"/>
          <w:color w:val="000000"/>
          <w:sz w:val="24"/>
        </w:rPr>
        <w:t> </w:t>
      </w:r>
      <w:r>
        <w:rPr>
          <w:rFonts w:ascii="Times New Roman" w:hAnsi="Times New Roman"/>
          <w:b w:val="false"/>
          <w:i/>
          <w:color w:val="000000"/>
          <w:sz w:val="24"/>
        </w:rPr>
        <w:t xml:space="preserve">Form—original notice and petition for commutation of all remaining benefits of ten weeks or more 876—subrule 6.2(6). (Form No. 200) </w:t>
      </w:r>
      <w:r>
        <w:rPr>
          <w:rFonts w:ascii="Times New Roman" w:hAnsi="Times New Roman"/>
          <w:b w:val="false"/>
          <w:i w:val="false"/>
          <w:color w:val="000000"/>
          <w:sz w:val="24"/>
        </w:rPr>
        <w:t>This form contains data relevant to benefits paid and those to be paid by commutation when all unaccrued benefits are due. Signatures of the parties are necessary. Approval by the workers’ compensation commissioner or a deputy workers’ compensation commissioner is necessary. The form contains language of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3.1(13)</w:t>
      </w:r>
      <w:r>
        <w:rPr>
          <w:rFonts w:ascii="Times New Roman" w:hAnsi="Times New Roman"/>
          <w:b w:val="false"/>
          <w:i w:val="false"/>
          <w:color w:val="000000"/>
          <w:sz w:val="24"/>
        </w:rPr>
        <w:t> </w:t>
      </w:r>
      <w:r>
        <w:rPr>
          <w:rFonts w:ascii="Times New Roman" w:hAnsi="Times New Roman"/>
          <w:b w:val="false"/>
          <w:i/>
          <w:color w:val="000000"/>
          <w:sz w:val="24"/>
        </w:rPr>
        <w:t xml:space="preserve">Form—original notice and petition for partial commutation. (Form No. 201) </w:t>
      </w:r>
      <w:r>
        <w:rPr>
          <w:rFonts w:ascii="Times New Roman" w:hAnsi="Times New Roman"/>
          <w:b w:val="false"/>
          <w:i w:val="false"/>
          <w:color w:val="000000"/>
          <w:sz w:val="24"/>
        </w:rPr>
        <w:t>This form contains the same data and requirements as Form No. 9. However, all remaining benefits are not commuted. No language of release is contained.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3.1(14)</w:t>
      </w:r>
      <w:r>
        <w:rPr>
          <w:rFonts w:ascii="Times New Roman" w:hAnsi="Times New Roman"/>
          <w:b w:val="false"/>
          <w:i w:val="false"/>
          <w:color w:val="000000"/>
          <w:sz w:val="24"/>
        </w:rPr>
        <w:t> </w:t>
      </w:r>
      <w:r>
        <w:rPr>
          <w:rFonts w:ascii="Times New Roman" w:hAnsi="Times New Roman"/>
          <w:b w:val="false"/>
          <w:i/>
          <w:color w:val="000000"/>
          <w:sz w:val="24"/>
        </w:rPr>
        <w:t xml:space="preserve">Form—payment activity report. (Form No. 206) </w:t>
      </w:r>
      <w:r>
        <w:rPr>
          <w:rFonts w:ascii="Times New Roman" w:hAnsi="Times New Roman"/>
          <w:b w:val="false"/>
          <w:i w:val="false"/>
          <w:color w:val="000000"/>
          <w:sz w:val="24"/>
        </w:rPr>
        <w:t>This form is used to list payment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3.1(15)</w:t>
      </w:r>
      <w:r>
        <w:rPr>
          <w:rFonts w:ascii="Times New Roman" w:hAnsi="Times New Roman"/>
          <w:b w:val="false"/>
          <w:i w:val="false"/>
          <w:color w:val="000000"/>
          <w:sz w:val="24"/>
        </w:rPr>
        <w:t> </w:t>
      </w:r>
      <w:r>
        <w:rPr>
          <w:rFonts w:ascii="Times New Roman" w:hAnsi="Times New Roman"/>
          <w:b w:val="false"/>
          <w:i/>
          <w:color w:val="000000"/>
          <w:sz w:val="24"/>
        </w:rPr>
        <w:t xml:space="preserve">Form—agreement for settlement. (Form No. 202) </w:t>
      </w:r>
      <w:r>
        <w:rPr>
          <w:rFonts w:ascii="Times New Roman" w:hAnsi="Times New Roman"/>
          <w:b w:val="false"/>
          <w:i w:val="false"/>
          <w:color w:val="000000"/>
          <w:sz w:val="24"/>
        </w:rPr>
        <w:t xml:space="preserve">This form is used to file an agreement for settlement pursuant to Iowa Code section </w:t>
      </w:r>
      <w:hyperlink r:id="rId12">
        <w:r>
          <w:rPr>
            <w:rStyle w:val="Hyperlink"/>
            <w:rFonts w:ascii="Times New Roman" w:hAnsi="Times New Roman"/>
            <w:b w:val="false"/>
            <w:i w:val="false"/>
            <w:color w:val="000000"/>
            <w:sz w:val="24"/>
          </w:rPr>
          <w:t>85.35(2)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3.1(16)</w:t>
      </w:r>
      <w:r>
        <w:rPr>
          <w:rFonts w:ascii="Times New Roman" w:hAnsi="Times New Roman"/>
          <w:b w:val="false"/>
          <w:i w:val="false"/>
          <w:color w:val="000000"/>
          <w:sz w:val="24"/>
        </w:rPr>
        <w:t> </w:t>
      </w:r>
      <w:r>
        <w:rPr>
          <w:rFonts w:ascii="Times New Roman" w:hAnsi="Times New Roman"/>
          <w:b w:val="false"/>
          <w:i/>
          <w:color w:val="000000"/>
          <w:sz w:val="24"/>
        </w:rPr>
        <w:t xml:space="preserve">Form—compromise settlement. (Form No. 205) </w:t>
      </w:r>
      <w:r>
        <w:rPr>
          <w:rFonts w:ascii="Times New Roman" w:hAnsi="Times New Roman"/>
          <w:b w:val="false"/>
          <w:i w:val="false"/>
          <w:color w:val="000000"/>
          <w:sz w:val="24"/>
        </w:rPr>
        <w:t xml:space="preserve">This form is used to file a compromise settlement pursuant to Iowa Code section </w:t>
      </w:r>
      <w:hyperlink r:id="rId13">
        <w:r>
          <w:rPr>
            <w:rStyle w:val="Hyperlink"/>
            <w:rFonts w:ascii="Times New Roman" w:hAnsi="Times New Roman"/>
            <w:b w:val="false"/>
            <w:i w:val="false"/>
            <w:color w:val="000000"/>
            <w:sz w:val="24"/>
          </w:rPr>
          <w:t>85.35(3)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3.1(17)</w:t>
      </w:r>
      <w:r>
        <w:rPr>
          <w:rFonts w:ascii="Times New Roman" w:hAnsi="Times New Roman"/>
          <w:b w:val="false"/>
          <w:i w:val="false"/>
          <w:color w:val="000000"/>
          <w:sz w:val="24"/>
        </w:rPr>
        <w:t> </w:t>
      </w:r>
      <w:r>
        <w:rPr>
          <w:rFonts w:ascii="Times New Roman" w:hAnsi="Times New Roman"/>
          <w:b w:val="false"/>
          <w:i/>
          <w:color w:val="000000"/>
          <w:sz w:val="24"/>
        </w:rPr>
        <w:t xml:space="preserve">Form—combination settlement. (Form No. 203) </w:t>
      </w:r>
      <w:r>
        <w:rPr>
          <w:rFonts w:ascii="Times New Roman" w:hAnsi="Times New Roman"/>
          <w:b w:val="false"/>
          <w:i w:val="false"/>
          <w:color w:val="000000"/>
          <w:sz w:val="24"/>
        </w:rPr>
        <w:t xml:space="preserve">This form is used to file a combination settlement pursuant to Iowa Code section </w:t>
      </w:r>
      <w:hyperlink r:id="rId14">
        <w:r>
          <w:rPr>
            <w:rStyle w:val="Hyperlink"/>
            <w:rFonts w:ascii="Times New Roman" w:hAnsi="Times New Roman"/>
            <w:b w:val="false"/>
            <w:i w:val="false"/>
            <w:color w:val="000000"/>
            <w:sz w:val="24"/>
          </w:rPr>
          <w:t>85.35(4)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3.1(18)</w:t>
      </w:r>
      <w:r>
        <w:rPr>
          <w:rFonts w:ascii="Times New Roman" w:hAnsi="Times New Roman"/>
          <w:b w:val="false"/>
          <w:i w:val="false"/>
          <w:color w:val="000000"/>
          <w:sz w:val="24"/>
        </w:rPr>
        <w:t> </w:t>
      </w:r>
      <w:r>
        <w:rPr>
          <w:rFonts w:ascii="Times New Roman" w:hAnsi="Times New Roman"/>
          <w:b w:val="false"/>
          <w:i/>
          <w:color w:val="000000"/>
          <w:sz w:val="24"/>
        </w:rPr>
        <w:t xml:space="preserve">Form—contingent settlement. (Form No. 204) </w:t>
      </w:r>
      <w:r>
        <w:rPr>
          <w:rFonts w:ascii="Times New Roman" w:hAnsi="Times New Roman"/>
          <w:b w:val="false"/>
          <w:i w:val="false"/>
          <w:color w:val="000000"/>
          <w:sz w:val="24"/>
        </w:rPr>
        <w:t xml:space="preserve">This form is used to file a contingent settlement pursuant to Iowa Code section </w:t>
      </w:r>
      <w:hyperlink r:id="rId15">
        <w:r>
          <w:rPr>
            <w:rStyle w:val="Hyperlink"/>
            <w:rFonts w:ascii="Times New Roman" w:hAnsi="Times New Roman"/>
            <w:b w:val="false"/>
            <w:i w:val="false"/>
            <w:color w:val="000000"/>
            <w:sz w:val="24"/>
          </w:rPr>
          <w:t>85.35(5)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3.1(19)</w:t>
      </w:r>
      <w:r>
        <w:rPr>
          <w:rFonts w:ascii="Times New Roman" w:hAnsi="Times New Roman"/>
          <w:b w:val="false"/>
          <w:i w:val="false"/>
          <w:color w:val="000000"/>
          <w:sz w:val="24"/>
        </w:rPr>
        <w:t> </w:t>
      </w:r>
      <w:r>
        <w:rPr>
          <w:rFonts w:ascii="Times New Roman" w:hAnsi="Times New Roman"/>
          <w:b w:val="false"/>
          <w:i/>
          <w:color w:val="000000"/>
          <w:sz w:val="24"/>
        </w:rPr>
        <w:t xml:space="preserve">Form—claimant’s statement. (Form No. 207) </w:t>
      </w:r>
      <w:r>
        <w:rPr>
          <w:rFonts w:ascii="Times New Roman" w:hAnsi="Times New Roman"/>
          <w:b w:val="false"/>
          <w:i w:val="false"/>
          <w:color w:val="000000"/>
          <w:sz w:val="24"/>
        </w:rPr>
        <w:t>This form is used for any type of settlement when the claimant is not represented by an attorney.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3.1(20)</w:t>
      </w:r>
      <w:r>
        <w:rPr>
          <w:rFonts w:ascii="Times New Roman" w:hAnsi="Times New Roman"/>
          <w:b w:val="false"/>
          <w:i w:val="false"/>
          <w:color w:val="000000"/>
          <w:sz w:val="24"/>
        </w:rPr>
        <w:t> </w:t>
      </w:r>
      <w:r>
        <w:rPr>
          <w:rFonts w:ascii="Times New Roman" w:hAnsi="Times New Roman"/>
          <w:b w:val="false"/>
          <w:i/>
          <w:color w:val="000000"/>
          <w:sz w:val="24"/>
        </w:rPr>
        <w:t xml:space="preserve">Form—application to defer payment of filing fees, financial affidavit and order. (Form No. 102) </w:t>
      </w:r>
      <w:r>
        <w:rPr>
          <w:rFonts w:ascii="Times New Roman" w:hAnsi="Times New Roman"/>
          <w:b w:val="false"/>
          <w:i w:val="false"/>
          <w:color w:val="000000"/>
          <w:sz w:val="24"/>
        </w:rPr>
        <w:t>This form is used to request a deferral of payment of filing fees. This form is not initially filed through WCES.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3.1(21)</w:t>
      </w:r>
      <w:r>
        <w:rPr>
          <w:rFonts w:ascii="Times New Roman" w:hAnsi="Times New Roman"/>
          <w:b w:val="false"/>
          <w:i w:val="false"/>
          <w:color w:val="000000"/>
          <w:sz w:val="24"/>
        </w:rPr>
        <w:t> </w:t>
      </w:r>
      <w:r>
        <w:rPr>
          <w:rFonts w:ascii="Times New Roman" w:hAnsi="Times New Roman"/>
          <w:b w:val="false"/>
          <w:i/>
          <w:color w:val="000000"/>
          <w:sz w:val="24"/>
        </w:rPr>
        <w:t xml:space="preserve">Form—nonelection of workers’ compensation or employers’ liability coverage. (Form No. 8) </w:t>
      </w:r>
      <w:r>
        <w:rPr>
          <w:rFonts w:ascii="Times New Roman" w:hAnsi="Times New Roman"/>
          <w:b w:val="false"/>
          <w:i w:val="false"/>
          <w:color w:val="000000"/>
          <w:sz w:val="24"/>
        </w:rPr>
        <w:t xml:space="preserve">This form is used for exclusion from liability coverage pursuant to Iowa Code section </w:t>
      </w:r>
      <w:hyperlink r:id="rId16">
        <w:r>
          <w:rPr>
            <w:rStyle w:val="Hyperlink"/>
            <w:rFonts w:ascii="Times New Roman" w:hAnsi="Times New Roman"/>
            <w:b w:val="false"/>
            <w:i w:val="false"/>
            <w:color w:val="000000"/>
            <w:sz w:val="24"/>
          </w:rPr>
          <w:t>87.22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3.1(22)</w:t>
      </w:r>
      <w:r>
        <w:rPr>
          <w:rFonts w:ascii="Times New Roman" w:hAnsi="Times New Roman"/>
          <w:b w:val="false"/>
          <w:i w:val="false"/>
          <w:color w:val="000000"/>
          <w:sz w:val="24"/>
        </w:rPr>
        <w:t> </w:t>
      </w:r>
      <w:r>
        <w:rPr>
          <w:rFonts w:ascii="Times New Roman" w:hAnsi="Times New Roman"/>
          <w:b w:val="false"/>
          <w:i/>
          <w:color w:val="000000"/>
          <w:sz w:val="24"/>
        </w:rPr>
        <w:t xml:space="preserve">Form—shorthand reporter identification form. (Form No. 107) </w:t>
      </w:r>
      <w:r>
        <w:rPr>
          <w:rFonts w:ascii="Times New Roman" w:hAnsi="Times New Roman"/>
          <w:b w:val="false"/>
          <w:i w:val="false"/>
          <w:color w:val="000000"/>
          <w:sz w:val="24"/>
        </w:rPr>
        <w:t>This form is used to identify the official shorthand reporter and custodian of the notes for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3.1(23)</w:t>
      </w:r>
      <w:r>
        <w:rPr>
          <w:rFonts w:ascii="Times New Roman" w:hAnsi="Times New Roman"/>
          <w:b w:val="false"/>
          <w:i w:val="false"/>
          <w:color w:val="000000"/>
          <w:sz w:val="24"/>
        </w:rPr>
        <w:t> </w:t>
      </w:r>
      <w:r>
        <w:rPr>
          <w:rFonts w:ascii="Times New Roman" w:hAnsi="Times New Roman"/>
          <w:b w:val="false"/>
          <w:i/>
          <w:color w:val="000000"/>
          <w:sz w:val="24"/>
        </w:rPr>
        <w:t xml:space="preserve">Form—request for waiver of the mandatory use of WCES. (Form No. 103) </w:t>
      </w:r>
      <w:r>
        <w:rPr>
          <w:rFonts w:ascii="Times New Roman" w:hAnsi="Times New Roman"/>
          <w:b w:val="false"/>
          <w:i w:val="false"/>
          <w:color w:val="000000"/>
          <w:sz w:val="24"/>
        </w:rPr>
        <w:t>This form is used by a self-represented party to request a waiver from those rules requiring filing in WCES and allows a party to file and serve documents in paper form.</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17A.3(1)</w:t>
        </w:r>
      </w:hyperlink>
      <w:r>
        <w:rPr>
          <w:rFonts w:ascii="Times New Roman" w:hAnsi="Times New Roman"/>
          <w:b w:val="false"/>
          <w:i/>
          <w:color w:val="000000"/>
          <w:sz w:val="24"/>
        </w:rPr>
        <w:t>“b.”</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co/chapter/10A.313.pdf" Type="http://schemas.openxmlformats.org/officeDocument/2006/relationships/hyperlink" Id="rId6"/>
    <Relationship TargetMode="External" Target="https://www.legis.iowa.gov/docs/iac/chapter/876.11.pdf" Type="http://schemas.openxmlformats.org/officeDocument/2006/relationships/hyperlink" Id="rId7"/>
    <Relationship TargetMode="External" Target="https://www.legis.iowa.gov/docs/ico/chapter/10A.314.pdf" Type="http://schemas.openxmlformats.org/officeDocument/2006/relationships/hyperlink" Id="rId8"/>
    <Relationship TargetMode="External" Target="https://www.legis.iowa.gov/docs/iac/rule/876.6.2.pdf" Type="http://schemas.openxmlformats.org/officeDocument/2006/relationships/hyperlink" Id="rId9"/>
    <Relationship TargetMode="External" Target="https://www.legis.iowa.gov/docs/iac/rule/876.2506.36.pdf" Type="http://schemas.openxmlformats.org/officeDocument/2006/relationships/hyperlink" Id="rId10"/>
    <Relationship TargetMode="External" Target="https://www.legis.iowa.gov/docs/ico/chapter/85.21.pdf" Type="http://schemas.openxmlformats.org/officeDocument/2006/relationships/hyperlink" Id="rId11"/>
    <Relationship TargetMode="External" Target="https://www.legis.iowa.gov/docs/ico/chapter/85.35.pdf" Type="http://schemas.openxmlformats.org/officeDocument/2006/relationships/hyperlink" Id="rId12"/>
    <Relationship TargetMode="External" Target="https://www.legis.iowa.gov/docs/ico/chapter/85.35.pdf" Type="http://schemas.openxmlformats.org/officeDocument/2006/relationships/hyperlink" Id="rId13"/>
    <Relationship TargetMode="External" Target="https://www.legis.iowa.gov/docs/ico/chapter/85.35.pdf" Type="http://schemas.openxmlformats.org/officeDocument/2006/relationships/hyperlink" Id="rId14"/>
    <Relationship TargetMode="External" Target="https://www.legis.iowa.gov/docs/ico/chapter/85.35.pdf" Type="http://schemas.openxmlformats.org/officeDocument/2006/relationships/hyperlink" Id="rId15"/>
    <Relationship TargetMode="External" Target="https://www.legis.iowa.gov/docs/ico/chapter/87.22.pdf" Type="http://schemas.openxmlformats.org/officeDocument/2006/relationships/hyperlink" Id="rId16"/>
    <Relationship TargetMode="External" Target="https://www.legis.iowa.gov/docs/ico/chapter/17A.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